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JET-GROUTED CUT-OFF AND GROUND-IMPROVEMENT WALL</w:t>
      </w:r>
    </w:p>
    <w:p>
      <w:pPr>
        <w:spacing w:after="480"/>
      </w:pPr>
      <w:r>
        <w:rPr>
          <w:rFonts w:ascii="Aptos" w:hAnsi="Aptos"/>
          <w:b w:val="0"/>
          <w:color w:val="5E6B78"/>
          <w:sz w:val="26"/>
        </w:rPr>
        <w:t>Jet Grouting untuk Cut-Off dan Pengukuhan Tanah</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jet-grouted cut-off and ground-improvement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jet-grouted cut-off and ground-improvement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Cement grout</w:t>
      </w:r>
    </w:p>
    <w:p>
      <w:pPr>
        <w:pStyle w:val="ListBullet"/>
        <w:spacing w:after="50"/>
        <w:ind w:left="369" w:hanging="170"/>
      </w:pPr>
      <w:r>
        <w:rPr>
          <w:rFonts w:ascii="Aptos" w:hAnsi="Aptos"/>
          <w:b w:val="0"/>
          <w:color w:val="263442"/>
          <w:sz w:val="19"/>
        </w:rPr>
        <w:t>Water</w:t>
      </w:r>
    </w:p>
    <w:p>
      <w:pPr>
        <w:pStyle w:val="ListBullet"/>
        <w:spacing w:after="50"/>
        <w:ind w:left="369" w:hanging="170"/>
      </w:pPr>
      <w:r>
        <w:rPr>
          <w:rFonts w:ascii="Aptos" w:hAnsi="Aptos"/>
          <w:b w:val="0"/>
          <w:color w:val="263442"/>
          <w:sz w:val="19"/>
        </w:rPr>
        <w:t>Admixtures where approved</w:t>
      </w:r>
    </w:p>
    <w:p>
      <w:pPr>
        <w:pStyle w:val="ListBullet"/>
        <w:spacing w:after="50"/>
        <w:ind w:left="369" w:hanging="170"/>
      </w:pPr>
      <w:r>
        <w:rPr>
          <w:rFonts w:ascii="Aptos" w:hAnsi="Aptos"/>
          <w:b w:val="0"/>
          <w:color w:val="263442"/>
          <w:sz w:val="19"/>
        </w:rPr>
        <w:t>Bentonite where specified</w:t>
      </w:r>
    </w:p>
    <w:p>
      <w:pPr>
        <w:pStyle w:val="ListBullet"/>
        <w:spacing w:after="50"/>
        <w:ind w:left="369" w:hanging="170"/>
      </w:pPr>
      <w:r>
        <w:rPr>
          <w:rFonts w:ascii="Aptos" w:hAnsi="Aptos"/>
          <w:b w:val="0"/>
          <w:color w:val="263442"/>
          <w:sz w:val="19"/>
        </w:rPr>
        <w:t>Spoil-containment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Jet-grouting rig</w:t>
      </w:r>
    </w:p>
    <w:p>
      <w:pPr>
        <w:pStyle w:val="ListBullet"/>
        <w:spacing w:after="50"/>
        <w:ind w:left="369" w:hanging="170"/>
      </w:pPr>
      <w:r>
        <w:rPr>
          <w:rFonts w:ascii="Aptos" w:hAnsi="Aptos"/>
          <w:b w:val="0"/>
          <w:color w:val="263442"/>
          <w:sz w:val="19"/>
        </w:rPr>
        <w:t>High-pressure pump</w:t>
      </w:r>
    </w:p>
    <w:p>
      <w:pPr>
        <w:pStyle w:val="ListBullet"/>
        <w:spacing w:after="50"/>
        <w:ind w:left="369" w:hanging="170"/>
      </w:pPr>
      <w:r>
        <w:rPr>
          <w:rFonts w:ascii="Aptos" w:hAnsi="Aptos"/>
          <w:b w:val="0"/>
          <w:color w:val="263442"/>
          <w:sz w:val="19"/>
        </w:rPr>
        <w:t>Grout batching plant</w:t>
      </w:r>
    </w:p>
    <w:p>
      <w:pPr>
        <w:pStyle w:val="ListBullet"/>
        <w:spacing w:after="50"/>
        <w:ind w:left="369" w:hanging="170"/>
      </w:pPr>
      <w:r>
        <w:rPr>
          <w:rFonts w:ascii="Aptos" w:hAnsi="Aptos"/>
          <w:b w:val="0"/>
          <w:color w:val="263442"/>
          <w:sz w:val="19"/>
        </w:rPr>
        <w:t>Flow and pressure instruments</w:t>
      </w:r>
    </w:p>
    <w:p>
      <w:pPr>
        <w:pStyle w:val="ListBullet"/>
        <w:spacing w:after="50"/>
        <w:ind w:left="369" w:hanging="170"/>
      </w:pPr>
      <w:r>
        <w:rPr>
          <w:rFonts w:ascii="Aptos" w:hAnsi="Aptos"/>
          <w:b w:val="0"/>
          <w:color w:val="263442"/>
          <w:sz w:val="19"/>
        </w:rPr>
        <w:t>Spoil-treatment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jet-grouted cut-off and ground-improvement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Cement grout, Water, Admixtures where approved, Bentonite where specified, Spoil-containment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column geometry. </w:t>
      </w:r>
      <w:r>
        <w:rPr>
          <w:rFonts w:ascii="Aptos" w:hAnsi="Aptos"/>
          <w:b w:val="0"/>
          <w:color w:val="263442"/>
          <w:sz w:val="19"/>
        </w:rPr>
        <w:t>Approve column geometry, overlap, jet parameters, spoil management, trial columns and verification criteria.</w:t>
      </w:r>
    </w:p>
    <w:p>
      <w:pPr>
        <w:keepLines/>
        <w:spacing w:after="100" w:line="269" w:lineRule="auto"/>
        <w:ind w:left="369" w:hanging="369"/>
      </w:pPr>
      <w:r>
        <w:rPr>
          <w:rFonts w:ascii="Aptos" w:hAnsi="Aptos"/>
          <w:b/>
          <w:color w:val="071E33"/>
          <w:sz w:val="19"/>
        </w:rPr>
        <w:t xml:space="preserve">2. Locate services and set out columns. </w:t>
      </w:r>
      <w:r>
        <w:rPr>
          <w:rFonts w:ascii="Aptos" w:hAnsi="Aptos"/>
          <w:b w:val="0"/>
          <w:color w:val="263442"/>
          <w:sz w:val="19"/>
        </w:rPr>
        <w:t>Locate services and set out columns before positioning the rig vertically on the certified platform.</w:t>
      </w:r>
    </w:p>
    <w:p>
      <w:pPr>
        <w:keepLines/>
        <w:spacing w:after="100" w:line="269" w:lineRule="auto"/>
        <w:ind w:left="369" w:hanging="369"/>
      </w:pPr>
      <w:r>
        <w:rPr>
          <w:rFonts w:ascii="Aptos" w:hAnsi="Aptos"/>
          <w:b/>
          <w:color w:val="071E33"/>
          <w:sz w:val="19"/>
        </w:rPr>
        <w:t xml:space="preserve">3. Drill to toe level. </w:t>
      </w:r>
      <w:r>
        <w:rPr>
          <w:rFonts w:ascii="Aptos" w:hAnsi="Aptos"/>
          <w:b w:val="0"/>
          <w:color w:val="263442"/>
          <w:sz w:val="19"/>
        </w:rPr>
        <w:t>Drill to toe level while recording depth and ground response and preventing uncontrolled loss of returns.</w:t>
      </w:r>
    </w:p>
    <w:p>
      <w:pPr>
        <w:keepLines/>
        <w:spacing w:after="100" w:line="269" w:lineRule="auto"/>
        <w:ind w:left="369" w:hanging="369"/>
      </w:pPr>
      <w:r>
        <w:rPr>
          <w:rFonts w:ascii="Aptos" w:hAnsi="Aptos"/>
          <w:b/>
          <w:color w:val="071E33"/>
          <w:sz w:val="19"/>
        </w:rPr>
        <w:t xml:space="preserve">4. Jet and withdraw at the trial-verified pressure. </w:t>
      </w:r>
      <w:r>
        <w:rPr>
          <w:rFonts w:ascii="Aptos" w:hAnsi="Aptos"/>
          <w:b w:val="0"/>
          <w:color w:val="263442"/>
          <w:sz w:val="19"/>
        </w:rPr>
        <w:t>Jet and withdraw at the trial-verified pressure, flow, rotation and lift rate to form each column.</w:t>
      </w:r>
    </w:p>
    <w:p>
      <w:pPr>
        <w:keepLines/>
        <w:spacing w:after="100" w:line="269" w:lineRule="auto"/>
        <w:ind w:left="369" w:hanging="369"/>
      </w:pPr>
      <w:r>
        <w:rPr>
          <w:rFonts w:ascii="Aptos" w:hAnsi="Aptos"/>
          <w:b/>
          <w:color w:val="071E33"/>
          <w:sz w:val="19"/>
        </w:rPr>
        <w:t xml:space="preserve">5. Construct columns in the approved primary-secondary sequence. </w:t>
      </w:r>
      <w:r>
        <w:rPr>
          <w:rFonts w:ascii="Aptos" w:hAnsi="Aptos"/>
          <w:b w:val="0"/>
          <w:color w:val="263442"/>
          <w:sz w:val="19"/>
        </w:rPr>
        <w:t>Construct columns in the approved primary-secondary sequence while controlling heave, settlement and spoil.</w:t>
      </w:r>
    </w:p>
    <w:p>
      <w:pPr>
        <w:keepLines/>
        <w:spacing w:after="100" w:line="269" w:lineRule="auto"/>
        <w:ind w:left="369" w:hanging="369"/>
      </w:pPr>
      <w:r>
        <w:rPr>
          <w:rFonts w:ascii="Aptos" w:hAnsi="Aptos"/>
          <w:b/>
          <w:color w:val="071E33"/>
          <w:sz w:val="19"/>
        </w:rPr>
        <w:t xml:space="preserve">6. Core, test or expose selected columns, survey continuity. </w:t>
      </w:r>
      <w:r>
        <w:rPr>
          <w:rFonts w:ascii="Aptos" w:hAnsi="Aptos"/>
          <w:b w:val="0"/>
          <w:color w:val="263442"/>
          <w:sz w:val="19"/>
        </w:rPr>
        <w:t>Core, test or expose selected columns, survey continuity and rectify gaps under an approved procedure.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trial; setting out and platform; drilling record; jet parameters; sequence and ground response; verification testing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high-pressure jet; ground heave; grout spill; rig overturning; buried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Setting out and platform</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Drilling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Jet parameters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Sequence and ground response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Verification testing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jet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heave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Grout spill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Buried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Jet-Grouted Cut-Off and Ground-Improvement Wall</dc:title>
  <dc:subject>Editable construction method statement template</dc:subject>
  <dc:creator>Method Statement Hub Malaysia</dc:creator>
  <cp:keywords>jet grouting, cutoff wall, ground improvement, retaining structure</cp:keywords>
  <dc:description>generated by python-docx</dc:description>
  <cp:lastModifiedBy/>
  <cp:revision>1</cp:revision>
  <dcterms:created xsi:type="dcterms:W3CDTF">2013-12-23T23:15:00Z</dcterms:created>
  <dcterms:modified xsi:type="dcterms:W3CDTF">2013-12-23T23:15:00Z</dcterms:modified>
  <cp:category/>
</cp:coreProperties>
</file>